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D20A2" w14:textId="78359CD6"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64120">
        <w:rPr>
          <w:rFonts w:ascii="Arial" w:hAnsi="Arial" w:cs="Arial" w:hint="eastAsia"/>
          <w:b/>
          <w:bCs/>
          <w:sz w:val="28"/>
        </w:rPr>
        <w:t xml:space="preserve">Ad-Hoc </w:t>
      </w:r>
      <w:r w:rsidRPr="0052548E">
        <w:rPr>
          <w:rFonts w:ascii="Arial" w:hAnsi="Arial" w:cs="Arial"/>
          <w:b/>
          <w:bCs/>
          <w:sz w:val="28"/>
        </w:rPr>
        <w:t>Meeting</w:t>
      </w:r>
      <w:r>
        <w:rPr>
          <w:rFonts w:ascii="Arial" w:hAnsi="Arial" w:cs="Arial"/>
          <w:b/>
          <w:bCs/>
          <w:sz w:val="28"/>
        </w:rPr>
        <w:t xml:space="preserve"> </w:t>
      </w:r>
      <w:r w:rsidR="00764120">
        <w:rPr>
          <w:rFonts w:ascii="Arial" w:hAnsi="Arial" w:cs="Arial"/>
          <w:b/>
          <w:bCs/>
          <w:sz w:val="28"/>
        </w:rPr>
        <w:t>1901</w:t>
      </w:r>
      <w:r w:rsidR="00904EBD">
        <w:rPr>
          <w:rFonts w:ascii="Arial" w:hAnsi="Arial" w:cs="Arial" w:hint="eastAsia"/>
          <w:b/>
          <w:bCs/>
          <w:sz w:val="28"/>
        </w:rPr>
        <w:t xml:space="preserve">                                  </w:t>
      </w:r>
      <w:r w:rsidR="00C81455" w:rsidRPr="00C81455">
        <w:rPr>
          <w:rFonts w:ascii="Arial" w:hAnsi="Arial" w:cs="Arial"/>
          <w:b/>
          <w:bCs/>
          <w:sz w:val="28"/>
        </w:rPr>
        <w:t>R1-1</w:t>
      </w:r>
      <w:r w:rsidR="00764120">
        <w:rPr>
          <w:rFonts w:ascii="Arial" w:hAnsi="Arial" w:cs="Arial"/>
          <w:b/>
          <w:bCs/>
          <w:sz w:val="28"/>
        </w:rPr>
        <w:t>9</w:t>
      </w:r>
      <w:r w:rsidR="00B1432E">
        <w:rPr>
          <w:rFonts w:ascii="Arial" w:hAnsi="Arial" w:cs="Arial"/>
          <w:b/>
          <w:bCs/>
          <w:sz w:val="28"/>
        </w:rPr>
        <w:t>00959</w:t>
      </w:r>
      <w:bookmarkStart w:id="0" w:name="_GoBack"/>
      <w:bookmarkEnd w:id="0"/>
    </w:p>
    <w:p w14:paraId="1F172407" w14:textId="397D1B1E" w:rsidR="00764120" w:rsidRPr="009513AC" w:rsidRDefault="00764120" w:rsidP="00764120">
      <w:pPr>
        <w:tabs>
          <w:tab w:val="center" w:pos="4536"/>
          <w:tab w:val="right" w:pos="9072"/>
        </w:tabs>
        <w:rPr>
          <w:rFonts w:ascii="Arial" w:eastAsia="ＭＳ 明朝" w:hAnsi="Arial" w:cs="Arial"/>
          <w:b/>
          <w:bCs/>
          <w:sz w:val="28"/>
        </w:rPr>
      </w:pPr>
      <w:r>
        <w:rPr>
          <w:rFonts w:ascii="Arial" w:eastAsia="ＭＳ 明朝" w:hAnsi="Arial" w:cs="Arial"/>
          <w:b/>
          <w:bCs/>
          <w:sz w:val="28"/>
        </w:rPr>
        <w:t>Taipei, 21</w:t>
      </w:r>
      <w:r w:rsidRPr="002826AF">
        <w:rPr>
          <w:rFonts w:ascii="Arial" w:eastAsia="ＭＳ 明朝" w:hAnsi="Arial" w:cs="Arial"/>
          <w:b/>
          <w:bCs/>
          <w:sz w:val="28"/>
          <w:vertAlign w:val="superscript"/>
        </w:rPr>
        <w:t>st</w:t>
      </w:r>
      <w:r>
        <w:rPr>
          <w:rFonts w:ascii="Arial" w:eastAsia="ＭＳ 明朝" w:hAnsi="Arial" w:cs="Arial"/>
          <w:b/>
          <w:bCs/>
          <w:sz w:val="28"/>
        </w:rPr>
        <w:t xml:space="preserve"> – 25</w:t>
      </w:r>
      <w:r w:rsidRPr="002826AF">
        <w:rPr>
          <w:rFonts w:ascii="Arial" w:eastAsia="ＭＳ 明朝" w:hAnsi="Arial" w:cs="Arial"/>
          <w:b/>
          <w:bCs/>
          <w:sz w:val="28"/>
          <w:vertAlign w:val="superscript"/>
        </w:rPr>
        <w:t>th</w:t>
      </w:r>
      <w:r>
        <w:rPr>
          <w:rFonts w:ascii="Arial" w:eastAsia="ＭＳ 明朝" w:hAnsi="Arial" w:cs="Arial"/>
          <w:b/>
          <w:bCs/>
          <w:sz w:val="28"/>
        </w:rPr>
        <w:t xml:space="preserve"> January, 2019</w:t>
      </w:r>
    </w:p>
    <w:p w14:paraId="0B31F29E" w14:textId="77777777" w:rsidR="008A34D9" w:rsidRPr="00764120"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CEC31B2"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B6372C" w:rsidRPr="00B6372C">
        <w:rPr>
          <w:sz w:val="24"/>
          <w:lang w:val="en-US"/>
        </w:rPr>
        <w:t>Extension of RACH occasions and periodicities for backhaul RACH resources</w:t>
      </w:r>
    </w:p>
    <w:p w14:paraId="33948831" w14:textId="5CE7608B"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B6372C">
        <w:rPr>
          <w:rFonts w:hint="eastAsia"/>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0ED751ED" w:rsidR="00A97218" w:rsidRDefault="005C1ADE" w:rsidP="00956F10">
      <w:pPr>
        <w:spacing w:afterLines="50" w:after="120"/>
        <w:jc w:val="both"/>
        <w:rPr>
          <w:rFonts w:eastAsia="ＭＳ 明朝"/>
          <w:sz w:val="22"/>
          <w:szCs w:val="22"/>
          <w:lang w:val="en-US"/>
        </w:rPr>
      </w:pPr>
      <w:r>
        <w:rPr>
          <w:rFonts w:eastAsia="ＭＳ 明朝" w:hint="eastAsia"/>
          <w:sz w:val="22"/>
          <w:szCs w:val="22"/>
          <w:lang w:val="en-US"/>
        </w:rPr>
        <w:t>At the RAN</w:t>
      </w:r>
      <w:r w:rsidR="00764120">
        <w:rPr>
          <w:rFonts w:eastAsia="ＭＳ 明朝" w:hint="eastAsia"/>
          <w:sz w:val="22"/>
          <w:szCs w:val="22"/>
          <w:lang w:val="en-US"/>
        </w:rPr>
        <w:t>#82</w:t>
      </w:r>
      <w:r w:rsidR="00A97218">
        <w:rPr>
          <w:rFonts w:eastAsia="ＭＳ 明朝" w:hint="eastAsia"/>
          <w:sz w:val="22"/>
          <w:szCs w:val="22"/>
          <w:lang w:val="en-US"/>
        </w:rPr>
        <w:t xml:space="preserve"> meeting, </w:t>
      </w:r>
      <w:r w:rsidR="00764120">
        <w:rPr>
          <w:rFonts w:eastAsia="ＭＳ 明朝"/>
          <w:sz w:val="22"/>
          <w:szCs w:val="22"/>
          <w:lang w:val="en-US"/>
        </w:rPr>
        <w:t>the new WI on Integrated Access and Backhaul (IAB) for NR was approved</w:t>
      </w:r>
      <w:r w:rsidR="00764120">
        <w:rPr>
          <w:rFonts w:eastAsia="ＭＳ 明朝" w:hint="eastAsia"/>
          <w:sz w:val="22"/>
          <w:szCs w:val="22"/>
          <w:lang w:val="en-US"/>
        </w:rPr>
        <w:t xml:space="preserve"> </w:t>
      </w:r>
      <w:r w:rsidR="00A97218">
        <w:rPr>
          <w:rFonts w:eastAsia="ＭＳ 明朝" w:hint="eastAsia"/>
          <w:sz w:val="22"/>
          <w:szCs w:val="22"/>
          <w:lang w:val="en-US"/>
        </w:rPr>
        <w:t>[1].</w:t>
      </w:r>
      <w:r w:rsidR="00764120">
        <w:rPr>
          <w:rFonts w:eastAsia="ＭＳ 明朝"/>
          <w:sz w:val="22"/>
          <w:szCs w:val="22"/>
          <w:lang w:val="en-US"/>
        </w:rPr>
        <w:t xml:space="preserve"> The objectives of the WI include following RAN1 works.</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28D2DB46" w14:textId="77777777" w:rsidR="00764120" w:rsidRPr="00764120" w:rsidRDefault="00764120" w:rsidP="00DF57F0">
            <w:pPr>
              <w:numPr>
                <w:ilvl w:val="0"/>
                <w:numId w:val="7"/>
              </w:numPr>
              <w:spacing w:before="60" w:after="60"/>
              <w:ind w:left="720"/>
              <w:rPr>
                <w:rFonts w:eastAsia="游明朝"/>
                <w:sz w:val="20"/>
                <w:lang w:eastAsia="en-US"/>
              </w:rPr>
            </w:pPr>
            <w:r w:rsidRPr="00764120">
              <w:rPr>
                <w:rFonts w:eastAsia="游明朝"/>
                <w:sz w:val="20"/>
                <w:lang w:eastAsia="en-US"/>
              </w:rPr>
              <w:t>Physical layer specification [RAN1-led, RAN2, RAN3, RAN4]:</w:t>
            </w:r>
          </w:p>
          <w:p w14:paraId="3C32D32A" w14:textId="77777777"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Specification of SSB/RMSI periodicity for NR initial access assumed by an IAB-node.</w:t>
            </w:r>
          </w:p>
          <w:p w14:paraId="04DBB7B8" w14:textId="77777777"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7C23CFED" w14:textId="77777777"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 xml:space="preserve">Specification of extension of RACH occasions and periodicities for backhaul RACH resources. w.r.t. access RACH resources, and associated network coordination mechanisms for selection of such parameters (in order to </w:t>
            </w:r>
            <w:proofErr w:type="spellStart"/>
            <w:r w:rsidRPr="00764120">
              <w:rPr>
                <w:rFonts w:eastAsia="游明朝"/>
                <w:sz w:val="20"/>
                <w:lang w:eastAsia="en-US"/>
              </w:rPr>
              <w:t>orthogonalize</w:t>
            </w:r>
            <w:proofErr w:type="spellEnd"/>
            <w:r w:rsidRPr="00764120">
              <w:rPr>
                <w:rFonts w:eastAsia="游明朝"/>
                <w:sz w:val="20"/>
                <w:lang w:eastAsia="en-US"/>
              </w:rPr>
              <w:t xml:space="preserve"> access and BH due to the half-duplex constraints)</w:t>
            </w:r>
            <w:r w:rsidRPr="00764120" w:rsidDel="008F7E88">
              <w:rPr>
                <w:rFonts w:eastAsia="游明朝"/>
                <w:sz w:val="20"/>
                <w:lang w:eastAsia="en-US"/>
              </w:rPr>
              <w:t xml:space="preserve"> </w:t>
            </w:r>
          </w:p>
          <w:p w14:paraId="04ECBF3F" w14:textId="77777777"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 xml:space="preserve">Specification of mechanisms for resource multiplexing among backhaul and access links. This includes: </w:t>
            </w:r>
          </w:p>
          <w:p w14:paraId="09718904" w14:textId="77777777" w:rsidR="00764120" w:rsidRPr="00764120" w:rsidRDefault="00764120" w:rsidP="00DF57F0">
            <w:pPr>
              <w:numPr>
                <w:ilvl w:val="2"/>
                <w:numId w:val="7"/>
              </w:numPr>
              <w:spacing w:beforeLines="60" w:before="144" w:afterLines="60" w:after="144"/>
              <w:rPr>
                <w:rFonts w:eastAsia="游明朝"/>
                <w:sz w:val="20"/>
                <w:lang w:eastAsia="en-US"/>
              </w:rPr>
            </w:pPr>
            <w:r w:rsidRPr="00764120">
              <w:rPr>
                <w:rFonts w:eastAsia="游明朝"/>
                <w:sz w:val="20"/>
                <w:lang w:eastAsia="en-US"/>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63A2099C" w14:textId="77777777" w:rsidR="00764120" w:rsidRPr="00764120" w:rsidRDefault="00764120" w:rsidP="00DF57F0">
            <w:pPr>
              <w:numPr>
                <w:ilvl w:val="2"/>
                <w:numId w:val="7"/>
              </w:numPr>
              <w:spacing w:beforeLines="60" w:before="144" w:afterLines="60" w:after="144"/>
              <w:rPr>
                <w:rFonts w:eastAsia="游明朝"/>
                <w:sz w:val="20"/>
                <w:lang w:eastAsia="en-US"/>
              </w:rPr>
            </w:pPr>
            <w:r w:rsidRPr="00764120">
              <w:rPr>
                <w:rFonts w:eastAsia="游明朝"/>
                <w:sz w:val="20"/>
                <w:lang w:eastAsia="en-US"/>
              </w:rPr>
              <w:t xml:space="preserve">Specification of time resource types for the DU’s child links: DL hard, DL soft, UL hard, UL soft, Flexible hard, Flexible soft, Not Available </w:t>
            </w:r>
          </w:p>
          <w:p w14:paraId="5A57977D" w14:textId="77777777" w:rsidR="00764120" w:rsidRPr="00764120" w:rsidRDefault="00764120" w:rsidP="00DF57F0">
            <w:pPr>
              <w:numPr>
                <w:ilvl w:val="2"/>
                <w:numId w:val="7"/>
              </w:numPr>
              <w:spacing w:beforeLines="60" w:before="144" w:afterLines="60" w:after="144"/>
              <w:rPr>
                <w:rFonts w:eastAsia="游明朝"/>
                <w:sz w:val="20"/>
                <w:lang w:eastAsia="en-US"/>
              </w:rPr>
            </w:pPr>
            <w:r w:rsidRPr="00764120">
              <w:rPr>
                <w:rFonts w:eastAsia="游明朝"/>
                <w:sz w:val="20"/>
                <w:lang w:eastAsia="en-US"/>
              </w:rPr>
              <w:t xml:space="preserve">Specification of dynamic indication (L1 signalling) of the availability of soft resources for a child IAB-node DU </w:t>
            </w:r>
          </w:p>
          <w:p w14:paraId="6D5B6CE0" w14:textId="77777777" w:rsidR="00764120" w:rsidRPr="00764120" w:rsidRDefault="00764120" w:rsidP="00DF57F0">
            <w:pPr>
              <w:numPr>
                <w:ilvl w:val="2"/>
                <w:numId w:val="7"/>
              </w:numPr>
              <w:spacing w:beforeLines="60" w:before="144" w:afterLines="60" w:after="144"/>
              <w:rPr>
                <w:rFonts w:eastAsia="游明朝"/>
                <w:sz w:val="20"/>
                <w:lang w:eastAsia="en-US"/>
              </w:rPr>
            </w:pPr>
            <w:r w:rsidRPr="00764120">
              <w:rPr>
                <w:rFonts w:eastAsia="游明朝"/>
                <w:sz w:val="20"/>
                <w:lang w:eastAsia="en-US"/>
              </w:rPr>
              <w:t>Specification of required transmission/reception rules for IAB-nodes and associated behaviours regarding time resource utilization as discussed in TR 38.874 clause 7.3.3.</w:t>
            </w:r>
          </w:p>
          <w:p w14:paraId="607EE953" w14:textId="50A08969"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Specification of mechanism to support the “case-1” OTA timing alignment.</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0324BAA5"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B6372C">
        <w:rPr>
          <w:rFonts w:eastAsia="ＭＳ 明朝"/>
          <w:sz w:val="22"/>
          <w:szCs w:val="22"/>
          <w:lang w:val="en-US"/>
        </w:rPr>
        <w:t>e</w:t>
      </w:r>
      <w:r w:rsidR="00B6372C" w:rsidRPr="00B6372C">
        <w:rPr>
          <w:rFonts w:eastAsia="ＭＳ 明朝"/>
          <w:sz w:val="22"/>
          <w:szCs w:val="22"/>
          <w:lang w:val="en-US"/>
        </w:rPr>
        <w:t>xtension of RACH occasions and periodicities for backhaul RACH resources</w:t>
      </w:r>
      <w:r w:rsidR="001012F3" w:rsidRPr="001012F3">
        <w:rPr>
          <w:rFonts w:eastAsia="ＭＳ 明朝" w:hint="eastAsia"/>
          <w:sz w:val="22"/>
          <w:szCs w:val="22"/>
          <w:lang w:val="en-US"/>
        </w:rPr>
        <w:t xml:space="preserve">. </w:t>
      </w:r>
    </w:p>
    <w:p w14:paraId="0DDCE2F2" w14:textId="10384A02" w:rsidR="009517C5" w:rsidRPr="009517C5" w:rsidRDefault="00101A83" w:rsidP="00B6372C">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B6372C">
        <w:rPr>
          <w:rFonts w:eastAsia="ＭＳ 明朝"/>
          <w:b/>
          <w:bCs/>
          <w:szCs w:val="24"/>
          <w:lang w:val="en-US"/>
        </w:rPr>
        <w:t>e</w:t>
      </w:r>
      <w:r w:rsidR="00B6372C" w:rsidRPr="00B6372C">
        <w:rPr>
          <w:rFonts w:eastAsia="ＭＳ 明朝"/>
          <w:b/>
          <w:bCs/>
          <w:szCs w:val="24"/>
          <w:lang w:val="en-US"/>
        </w:rPr>
        <w:t>xtension of RACH occasions and periodicities for backhaul RACH resources</w:t>
      </w:r>
    </w:p>
    <w:p w14:paraId="4632555E" w14:textId="6A7C6470" w:rsidR="00BB00D9" w:rsidRDefault="00BB00D9" w:rsidP="00C517C8">
      <w:pPr>
        <w:spacing w:afterLines="50" w:after="120"/>
        <w:rPr>
          <w:sz w:val="22"/>
          <w:szCs w:val="22"/>
          <w:lang w:val="en-US"/>
        </w:rPr>
      </w:pPr>
      <w:r>
        <w:rPr>
          <w:sz w:val="22"/>
          <w:szCs w:val="22"/>
          <w:lang w:val="en-US"/>
        </w:rPr>
        <w:t xml:space="preserve">During the IAB SI, IAB-node </w:t>
      </w:r>
      <w:r w:rsidR="00730B84">
        <w:rPr>
          <w:sz w:val="22"/>
          <w:szCs w:val="22"/>
          <w:lang w:val="en-US"/>
        </w:rPr>
        <w:t>RACH</w:t>
      </w:r>
      <w:r>
        <w:rPr>
          <w:sz w:val="22"/>
          <w:szCs w:val="22"/>
          <w:lang w:val="en-US"/>
        </w:rPr>
        <w:t xml:space="preserve"> had been discussed and following is captured in the TR38.874 [2].</w:t>
      </w:r>
    </w:p>
    <w:tbl>
      <w:tblPr>
        <w:tblStyle w:val="afa"/>
        <w:tblW w:w="0" w:type="auto"/>
        <w:tblLook w:val="04A0" w:firstRow="1" w:lastRow="0" w:firstColumn="1" w:lastColumn="0" w:noHBand="0" w:noVBand="1"/>
      </w:tblPr>
      <w:tblGrid>
        <w:gridCol w:w="9962"/>
      </w:tblGrid>
      <w:tr w:rsidR="00BB00D9" w14:paraId="31B50C5D" w14:textId="77777777" w:rsidTr="00BB00D9">
        <w:tc>
          <w:tcPr>
            <w:tcW w:w="9962" w:type="dxa"/>
          </w:tcPr>
          <w:p w14:paraId="2CEF0FDA" w14:textId="77777777" w:rsidR="00730B84" w:rsidRPr="00730B84" w:rsidRDefault="00730B84" w:rsidP="00730B84">
            <w:pPr>
              <w:keepNext/>
              <w:keepLines/>
              <w:spacing w:before="120"/>
              <w:ind w:left="1134" w:hanging="1134"/>
              <w:outlineLvl w:val="2"/>
              <w:rPr>
                <w:rFonts w:ascii="Arial" w:eastAsia="Times New Roman" w:hAnsi="Arial"/>
                <w:sz w:val="28"/>
                <w:lang w:val="x-none" w:eastAsia="x-none"/>
              </w:rPr>
            </w:pPr>
            <w:bookmarkStart w:id="3" w:name="_Toc531477265"/>
            <w:bookmarkStart w:id="4" w:name="_Toc531609837"/>
            <w:r w:rsidRPr="00730B84">
              <w:rPr>
                <w:rFonts w:ascii="Arial" w:eastAsia="Times New Roman" w:hAnsi="Arial"/>
                <w:sz w:val="28"/>
                <w:lang w:val="x-none" w:eastAsia="x-none"/>
              </w:rPr>
              <w:lastRenderedPageBreak/>
              <w:t>7.2.3</w:t>
            </w:r>
            <w:r w:rsidRPr="00730B84">
              <w:rPr>
                <w:rFonts w:ascii="Arial" w:eastAsia="Times New Roman" w:hAnsi="Arial"/>
                <w:sz w:val="28"/>
                <w:lang w:val="x-none" w:eastAsia="x-none"/>
              </w:rPr>
              <w:tab/>
              <w:t>IAB-node RACH</w:t>
            </w:r>
            <w:bookmarkEnd w:id="3"/>
            <w:bookmarkEnd w:id="4"/>
          </w:p>
          <w:p w14:paraId="6A3FE932" w14:textId="77777777" w:rsidR="00730B84" w:rsidRPr="00730B84" w:rsidRDefault="00730B84" w:rsidP="00730B84">
            <w:pPr>
              <w:spacing w:before="60" w:after="120"/>
              <w:jc w:val="both"/>
              <w:rPr>
                <w:rFonts w:eastAsia="Times New Roman"/>
                <w:sz w:val="20"/>
                <w:lang w:val="en-US"/>
              </w:rPr>
            </w:pPr>
            <w:r w:rsidRPr="00730B84">
              <w:rPr>
                <w:rFonts w:eastAsia="Times New Roman"/>
                <w:sz w:val="20"/>
                <w:lang w:val="en-US"/>
              </w:rPr>
              <w:t>IAB supports the ability of network flexibility to configure backhaul RACH resources with different occasions, longer RACH periodicities, and additional preamble formats allowing for longer RTT, compared to access RACH resources without impacting Rel-15 UEs.</w:t>
            </w:r>
          </w:p>
          <w:p w14:paraId="33F3F970" w14:textId="78BD11CA" w:rsidR="00BB00D9" w:rsidRPr="00730B84" w:rsidRDefault="00730B84" w:rsidP="00BB00D9">
            <w:pPr>
              <w:rPr>
                <w:rFonts w:eastAsiaTheme="minorEastAsia"/>
                <w:sz w:val="20"/>
                <w:lang w:val="en-US"/>
              </w:rPr>
            </w:pPr>
            <w:r w:rsidRPr="00730B84">
              <w:rPr>
                <w:rFonts w:eastAsia="Times New Roman"/>
                <w:sz w:val="20"/>
                <w:lang w:val="en-US"/>
              </w:rPr>
              <w:t>Based on Rel-15 PRACH configurations, the network is allowed to configure offset(s) for PRACH occasions for the MT of IAB-node(s), in order to TDM backhaul RACH resources across adjacent hops.</w:t>
            </w:r>
          </w:p>
        </w:tc>
      </w:tr>
    </w:tbl>
    <w:p w14:paraId="7D04C7EE" w14:textId="388B0DEA" w:rsidR="00BB00D9" w:rsidRDefault="00BB00D9" w:rsidP="00C517C8">
      <w:pPr>
        <w:spacing w:afterLines="50" w:after="120"/>
        <w:rPr>
          <w:sz w:val="22"/>
          <w:szCs w:val="22"/>
        </w:rPr>
      </w:pPr>
    </w:p>
    <w:p w14:paraId="49A1972F" w14:textId="71F1104F" w:rsidR="00730B84" w:rsidRDefault="00730B84" w:rsidP="00C517C8">
      <w:pPr>
        <w:spacing w:afterLines="50" w:after="120"/>
        <w:rPr>
          <w:sz w:val="22"/>
          <w:szCs w:val="22"/>
        </w:rPr>
      </w:pPr>
      <w:r>
        <w:rPr>
          <w:rFonts w:hint="eastAsia"/>
          <w:sz w:val="22"/>
          <w:szCs w:val="22"/>
        </w:rPr>
        <w:t xml:space="preserve">Assuming the half duplex constraint at </w:t>
      </w:r>
      <w:r>
        <w:rPr>
          <w:sz w:val="22"/>
          <w:szCs w:val="22"/>
        </w:rPr>
        <w:t xml:space="preserve">an </w:t>
      </w:r>
      <w:r>
        <w:rPr>
          <w:rFonts w:hint="eastAsia"/>
          <w:sz w:val="22"/>
          <w:szCs w:val="22"/>
        </w:rPr>
        <w:t>IAB-node</w:t>
      </w:r>
      <w:r>
        <w:rPr>
          <w:sz w:val="22"/>
          <w:szCs w:val="22"/>
        </w:rPr>
        <w:t xml:space="preserve">, backhaul RACH resource (for PRACH transmission towards parent node) and access RACH resource (for PRACH reception from access UEs and/or child IAB-nodes) </w:t>
      </w:r>
      <w:r w:rsidR="00BA3959">
        <w:rPr>
          <w:sz w:val="22"/>
          <w:szCs w:val="22"/>
        </w:rPr>
        <w:t xml:space="preserve">should be </w:t>
      </w:r>
      <w:proofErr w:type="spellStart"/>
      <w:r w:rsidR="00BA3959">
        <w:rPr>
          <w:sz w:val="22"/>
          <w:szCs w:val="22"/>
        </w:rPr>
        <w:t>TDMed</w:t>
      </w:r>
      <w:proofErr w:type="spellEnd"/>
      <w:r w:rsidR="00BA3959">
        <w:rPr>
          <w:sz w:val="22"/>
          <w:szCs w:val="22"/>
        </w:rPr>
        <w:t>. In addition, access RACH resource configuration such as occasion, periodicity an</w:t>
      </w:r>
      <w:r w:rsidR="004A35E8">
        <w:rPr>
          <w:sz w:val="22"/>
          <w:szCs w:val="22"/>
        </w:rPr>
        <w:t>d format for access UEs and th</w:t>
      </w:r>
      <w:r w:rsidR="004A35E8">
        <w:rPr>
          <w:rFonts w:hint="eastAsia"/>
          <w:sz w:val="22"/>
          <w:szCs w:val="22"/>
        </w:rPr>
        <w:t>ose</w:t>
      </w:r>
      <w:r w:rsidR="00BA3959">
        <w:rPr>
          <w:sz w:val="22"/>
          <w:szCs w:val="22"/>
        </w:rPr>
        <w:t xml:space="preserve"> for child IAB-nodes could also be different because of different coverage and mobility. </w:t>
      </w:r>
      <w:r w:rsidR="00965220">
        <w:rPr>
          <w:sz w:val="22"/>
          <w:szCs w:val="22"/>
        </w:rPr>
        <w:t xml:space="preserve">Therefore, we consider that RACH configuration including </w:t>
      </w:r>
      <w:proofErr w:type="spellStart"/>
      <w:r w:rsidR="00965220" w:rsidRPr="00965220">
        <w:rPr>
          <w:sz w:val="22"/>
          <w:szCs w:val="22"/>
        </w:rPr>
        <w:t>prach-ConfigurationIndex</w:t>
      </w:r>
      <w:proofErr w:type="spellEnd"/>
      <w:r w:rsidR="00965220">
        <w:rPr>
          <w:sz w:val="22"/>
          <w:szCs w:val="22"/>
        </w:rPr>
        <w:t xml:space="preserve"> for IAB-node MT should be able to be separately provided from that for access UE.</w:t>
      </w:r>
    </w:p>
    <w:p w14:paraId="76DCC695" w14:textId="7E175BB0" w:rsidR="00965220" w:rsidRDefault="00965220" w:rsidP="00965220">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 xml:space="preserve">The IAB-node/donor is able to provide RACH configuration including </w:t>
      </w:r>
      <w:proofErr w:type="spellStart"/>
      <w:r w:rsidRPr="00965220">
        <w:rPr>
          <w:rFonts w:eastAsia="游明朝"/>
          <w:b/>
          <w:sz w:val="22"/>
          <w:szCs w:val="22"/>
        </w:rPr>
        <w:t>prach-ConfigurationIndex</w:t>
      </w:r>
      <w:proofErr w:type="spellEnd"/>
      <w:r>
        <w:rPr>
          <w:rFonts w:eastAsia="游明朝"/>
          <w:b/>
          <w:sz w:val="22"/>
          <w:szCs w:val="22"/>
        </w:rPr>
        <w:t xml:space="preserve"> for child IAB-node MT separately from that for access UE</w:t>
      </w:r>
      <w:r>
        <w:rPr>
          <w:rFonts w:eastAsia="游明朝" w:hint="eastAsia"/>
          <w:b/>
          <w:sz w:val="22"/>
          <w:szCs w:val="22"/>
        </w:rPr>
        <w:t>.</w:t>
      </w:r>
    </w:p>
    <w:p w14:paraId="46561991" w14:textId="180AC13E" w:rsidR="00965220" w:rsidRDefault="00965220" w:rsidP="00965220">
      <w:pPr>
        <w:spacing w:afterLines="50" w:after="120"/>
        <w:rPr>
          <w:sz w:val="22"/>
          <w:szCs w:val="22"/>
        </w:rPr>
      </w:pPr>
    </w:p>
    <w:p w14:paraId="6FA42AE2" w14:textId="3F06F619" w:rsidR="00965220" w:rsidRDefault="00965220" w:rsidP="00965220">
      <w:pPr>
        <w:spacing w:afterLines="50" w:after="120"/>
        <w:rPr>
          <w:sz w:val="22"/>
          <w:szCs w:val="22"/>
        </w:rPr>
      </w:pPr>
      <w:r>
        <w:rPr>
          <w:rFonts w:hint="eastAsia"/>
          <w:sz w:val="22"/>
          <w:szCs w:val="22"/>
        </w:rPr>
        <w:t xml:space="preserve">In RACH configuration for IAB-node MT, </w:t>
      </w:r>
      <w:r>
        <w:rPr>
          <w:sz w:val="22"/>
          <w:szCs w:val="22"/>
        </w:rPr>
        <w:t>the offset(s) for PRACH occasions</w:t>
      </w:r>
      <w:r w:rsidR="002870C5">
        <w:rPr>
          <w:sz w:val="22"/>
          <w:szCs w:val="22"/>
        </w:rPr>
        <w:t xml:space="preserve"> can be supported according to the following agreements made at RAN1#94bis meeting</w:t>
      </w:r>
      <w:r w:rsidR="008C67E4">
        <w:rPr>
          <w:sz w:val="22"/>
          <w:szCs w:val="22"/>
        </w:rPr>
        <w:t xml:space="preserve"> [3]</w:t>
      </w:r>
      <w:r w:rsidR="002870C5">
        <w:rPr>
          <w:sz w:val="22"/>
          <w:szCs w:val="22"/>
        </w:rPr>
        <w:t xml:space="preserve">. </w:t>
      </w:r>
    </w:p>
    <w:tbl>
      <w:tblPr>
        <w:tblStyle w:val="afa"/>
        <w:tblW w:w="0" w:type="auto"/>
        <w:tblLook w:val="04A0" w:firstRow="1" w:lastRow="0" w:firstColumn="1" w:lastColumn="0" w:noHBand="0" w:noVBand="1"/>
      </w:tblPr>
      <w:tblGrid>
        <w:gridCol w:w="9962"/>
      </w:tblGrid>
      <w:tr w:rsidR="002870C5" w14:paraId="31950848" w14:textId="77777777" w:rsidTr="002870C5">
        <w:tc>
          <w:tcPr>
            <w:tcW w:w="9962" w:type="dxa"/>
          </w:tcPr>
          <w:p w14:paraId="0A69FF1D" w14:textId="77777777" w:rsidR="002870C5" w:rsidRPr="002870C5" w:rsidRDefault="002870C5" w:rsidP="002870C5">
            <w:pPr>
              <w:widowControl w:val="0"/>
              <w:jc w:val="both"/>
              <w:rPr>
                <w:rFonts w:ascii="Times" w:eastAsia="ＭＳ 明朝" w:hAnsi="Times" w:cs="Times"/>
                <w:kern w:val="2"/>
                <w:sz w:val="20"/>
                <w:lang w:val="en-US" w:eastAsia="x-none"/>
              </w:rPr>
            </w:pPr>
            <w:r w:rsidRPr="002870C5">
              <w:rPr>
                <w:rFonts w:ascii="Times" w:eastAsia="ＭＳ 明朝" w:hAnsi="Times" w:cs="Times"/>
                <w:kern w:val="2"/>
                <w:sz w:val="20"/>
                <w:highlight w:val="green"/>
                <w:lang w:val="en-US" w:eastAsia="x-none"/>
              </w:rPr>
              <w:t>Agreements</w:t>
            </w:r>
            <w:r w:rsidRPr="002870C5">
              <w:rPr>
                <w:rFonts w:ascii="Times" w:eastAsia="ＭＳ 明朝" w:hAnsi="Times" w:cs="Times"/>
                <w:kern w:val="2"/>
                <w:sz w:val="20"/>
                <w:lang w:val="en-US" w:eastAsia="x-none"/>
              </w:rPr>
              <w:t>:</w:t>
            </w:r>
          </w:p>
          <w:p w14:paraId="5B283C10" w14:textId="19D27CE9" w:rsidR="002870C5" w:rsidRPr="002870C5" w:rsidRDefault="002870C5" w:rsidP="002870C5">
            <w:pPr>
              <w:widowControl w:val="0"/>
              <w:numPr>
                <w:ilvl w:val="0"/>
                <w:numId w:val="8"/>
              </w:numPr>
              <w:jc w:val="both"/>
              <w:rPr>
                <w:rFonts w:ascii="Times" w:eastAsia="ＭＳ 明朝" w:hAnsi="Times" w:cs="Times"/>
                <w:kern w:val="2"/>
                <w:sz w:val="20"/>
                <w:lang w:val="en-US"/>
              </w:rPr>
            </w:pPr>
            <w:r w:rsidRPr="002870C5">
              <w:rPr>
                <w:rFonts w:ascii="Times" w:eastAsia="ＭＳ 明朝" w:hAnsi="Times" w:cs="Times"/>
                <w:kern w:val="2"/>
                <w:sz w:val="20"/>
                <w:lang w:val="en-US"/>
              </w:rPr>
              <w:t xml:space="preserve">Based on Rel-15 PRACH configurations, NR allows network to configure offset(s) for PRACH occasions for MT IAB node(s), to TDM backhaul RACH resources across adjacent hops. The detailed granularity of the offset (e.g., radio frame, </w:t>
            </w:r>
            <w:proofErr w:type="spellStart"/>
            <w:r w:rsidRPr="002870C5">
              <w:rPr>
                <w:rFonts w:ascii="Times" w:eastAsia="ＭＳ 明朝" w:hAnsi="Times" w:cs="Times"/>
                <w:kern w:val="2"/>
                <w:sz w:val="20"/>
                <w:lang w:val="en-US"/>
              </w:rPr>
              <w:t>subframe</w:t>
            </w:r>
            <w:proofErr w:type="spellEnd"/>
            <w:r w:rsidRPr="002870C5">
              <w:rPr>
                <w:rFonts w:ascii="Times" w:eastAsia="ＭＳ 明朝" w:hAnsi="Times" w:cs="Times"/>
                <w:kern w:val="2"/>
                <w:sz w:val="20"/>
                <w:lang w:val="en-US"/>
              </w:rPr>
              <w:t>, slot, etc.) is left for WI phase</w:t>
            </w:r>
          </w:p>
        </w:tc>
      </w:tr>
    </w:tbl>
    <w:p w14:paraId="5295A9E3" w14:textId="178F33F4" w:rsidR="002870C5" w:rsidRDefault="004C227F" w:rsidP="00965220">
      <w:pPr>
        <w:spacing w:afterLines="50" w:after="120"/>
        <w:rPr>
          <w:sz w:val="22"/>
          <w:szCs w:val="22"/>
        </w:rPr>
      </w:pPr>
      <w:r>
        <w:rPr>
          <w:rFonts w:hint="eastAsia"/>
          <w:sz w:val="22"/>
          <w:szCs w:val="22"/>
        </w:rPr>
        <w:t>In addition, longer RACH periodicity can also be supported for IAB-node MT according to the following agreements</w:t>
      </w:r>
      <w:r w:rsidR="008C67E4">
        <w:rPr>
          <w:sz w:val="22"/>
          <w:szCs w:val="22"/>
        </w:rPr>
        <w:t xml:space="preserve"> [3]</w:t>
      </w:r>
      <w:r>
        <w:rPr>
          <w:sz w:val="22"/>
          <w:szCs w:val="22"/>
        </w:rPr>
        <w:t>.</w:t>
      </w:r>
    </w:p>
    <w:tbl>
      <w:tblPr>
        <w:tblStyle w:val="afa"/>
        <w:tblW w:w="0" w:type="auto"/>
        <w:tblLook w:val="04A0" w:firstRow="1" w:lastRow="0" w:firstColumn="1" w:lastColumn="0" w:noHBand="0" w:noVBand="1"/>
      </w:tblPr>
      <w:tblGrid>
        <w:gridCol w:w="9962"/>
      </w:tblGrid>
      <w:tr w:rsidR="004C227F" w14:paraId="13BD4A80" w14:textId="77777777" w:rsidTr="004C227F">
        <w:tc>
          <w:tcPr>
            <w:tcW w:w="9962" w:type="dxa"/>
          </w:tcPr>
          <w:p w14:paraId="4609EAB6" w14:textId="77777777" w:rsidR="004C227F" w:rsidRPr="004C227F" w:rsidRDefault="004C227F" w:rsidP="004C227F">
            <w:pPr>
              <w:widowControl w:val="0"/>
              <w:jc w:val="both"/>
              <w:rPr>
                <w:rFonts w:ascii="Times" w:eastAsia="ＭＳ 明朝" w:hAnsi="Times" w:cs="Times"/>
                <w:kern w:val="2"/>
                <w:sz w:val="20"/>
                <w:lang w:val="en-US" w:eastAsia="x-none"/>
              </w:rPr>
            </w:pPr>
            <w:r w:rsidRPr="004C227F">
              <w:rPr>
                <w:rFonts w:ascii="Times" w:eastAsia="ＭＳ 明朝" w:hAnsi="Times" w:cs="Times"/>
                <w:kern w:val="2"/>
                <w:sz w:val="20"/>
                <w:highlight w:val="green"/>
                <w:lang w:val="en-US" w:eastAsia="x-none"/>
              </w:rPr>
              <w:t>Agreements</w:t>
            </w:r>
            <w:r w:rsidRPr="004C227F">
              <w:rPr>
                <w:rFonts w:ascii="Times" w:eastAsia="ＭＳ 明朝" w:hAnsi="Times" w:cs="Times"/>
                <w:kern w:val="2"/>
                <w:sz w:val="20"/>
                <w:lang w:val="en-US" w:eastAsia="x-none"/>
              </w:rPr>
              <w:t>:</w:t>
            </w:r>
          </w:p>
          <w:p w14:paraId="057E2482" w14:textId="77777777" w:rsidR="004C227F" w:rsidRPr="004C227F" w:rsidRDefault="004C227F" w:rsidP="004C227F">
            <w:pPr>
              <w:widowControl w:val="0"/>
              <w:numPr>
                <w:ilvl w:val="0"/>
                <w:numId w:val="8"/>
              </w:numPr>
              <w:jc w:val="both"/>
              <w:rPr>
                <w:rFonts w:ascii="Times" w:eastAsia="ＭＳ 明朝" w:hAnsi="Times" w:cs="Times"/>
                <w:kern w:val="2"/>
                <w:sz w:val="20"/>
                <w:lang w:val="en-US"/>
              </w:rPr>
            </w:pPr>
            <w:r w:rsidRPr="004C227F">
              <w:rPr>
                <w:rFonts w:ascii="Times" w:eastAsia="ＭＳ 明朝" w:hAnsi="Times" w:cs="Times"/>
                <w:kern w:val="2"/>
                <w:sz w:val="20"/>
                <w:lang w:val="en-US"/>
              </w:rPr>
              <w:t>For IAB node random access support</w:t>
            </w:r>
          </w:p>
          <w:p w14:paraId="534B4147" w14:textId="77777777" w:rsidR="004C227F" w:rsidRPr="004C227F" w:rsidRDefault="004C227F" w:rsidP="004C227F">
            <w:pPr>
              <w:widowControl w:val="0"/>
              <w:numPr>
                <w:ilvl w:val="1"/>
                <w:numId w:val="8"/>
              </w:numPr>
              <w:jc w:val="both"/>
              <w:rPr>
                <w:rFonts w:ascii="Times" w:eastAsia="ＭＳ 明朝" w:hAnsi="Times" w:cs="Times"/>
                <w:kern w:val="2"/>
                <w:sz w:val="20"/>
                <w:lang w:val="en-US"/>
              </w:rPr>
            </w:pPr>
            <w:r w:rsidRPr="004C227F">
              <w:rPr>
                <w:rFonts w:ascii="Times" w:eastAsia="ＭＳ 明朝" w:hAnsi="Times" w:cs="Times"/>
                <w:kern w:val="2"/>
                <w:sz w:val="20"/>
                <w:lang w:val="en-US"/>
              </w:rPr>
              <w:t>Longer RACH periodicity</w:t>
            </w:r>
          </w:p>
          <w:p w14:paraId="09142786" w14:textId="77777777" w:rsidR="004C227F" w:rsidRPr="004C227F" w:rsidRDefault="004C227F" w:rsidP="004C227F">
            <w:pPr>
              <w:widowControl w:val="0"/>
              <w:numPr>
                <w:ilvl w:val="1"/>
                <w:numId w:val="8"/>
              </w:numPr>
              <w:jc w:val="both"/>
              <w:rPr>
                <w:rFonts w:ascii="Times" w:eastAsia="ＭＳ 明朝" w:hAnsi="Times" w:cs="Times"/>
                <w:kern w:val="2"/>
                <w:sz w:val="20"/>
                <w:lang w:val="en-US"/>
              </w:rPr>
            </w:pPr>
            <w:r w:rsidRPr="004C227F">
              <w:rPr>
                <w:rFonts w:ascii="Times" w:eastAsia="ＭＳ 明朝" w:hAnsi="Times" w:cs="Times"/>
                <w:kern w:val="2"/>
                <w:sz w:val="20"/>
                <w:lang w:val="en-US"/>
              </w:rPr>
              <w:t>Additional preamble formats allowing for longer RTT</w:t>
            </w:r>
          </w:p>
          <w:p w14:paraId="46430255" w14:textId="648886BC" w:rsidR="004C227F" w:rsidRPr="004C227F" w:rsidRDefault="004C227F" w:rsidP="004C227F">
            <w:pPr>
              <w:widowControl w:val="0"/>
              <w:numPr>
                <w:ilvl w:val="1"/>
                <w:numId w:val="8"/>
              </w:numPr>
              <w:jc w:val="both"/>
              <w:rPr>
                <w:rFonts w:ascii="Times" w:eastAsia="ＭＳ 明朝" w:hAnsi="Times" w:cs="Times"/>
                <w:kern w:val="2"/>
                <w:sz w:val="20"/>
                <w:lang w:val="en-US"/>
              </w:rPr>
            </w:pPr>
            <w:r w:rsidRPr="004C227F">
              <w:rPr>
                <w:rFonts w:ascii="Times" w:eastAsia="ＭＳ 明朝" w:hAnsi="Times" w:cs="Times"/>
                <w:kern w:val="2"/>
                <w:sz w:val="20"/>
                <w:lang w:val="en-US"/>
              </w:rPr>
              <w:t>Details left for WI phase</w:t>
            </w:r>
          </w:p>
        </w:tc>
      </w:tr>
    </w:tbl>
    <w:p w14:paraId="4AA9EE0B" w14:textId="77777777" w:rsidR="008B3722" w:rsidRDefault="008B3722" w:rsidP="00965220">
      <w:pPr>
        <w:spacing w:afterLines="50" w:after="120"/>
        <w:rPr>
          <w:sz w:val="22"/>
          <w:szCs w:val="22"/>
        </w:rPr>
      </w:pPr>
    </w:p>
    <w:p w14:paraId="29575CCA" w14:textId="09BB8C94" w:rsidR="004C227F" w:rsidRDefault="00DC1DCB" w:rsidP="00965220">
      <w:pPr>
        <w:spacing w:afterLines="50" w:after="120"/>
        <w:rPr>
          <w:sz w:val="22"/>
          <w:szCs w:val="22"/>
        </w:rPr>
      </w:pPr>
      <w:r>
        <w:rPr>
          <w:sz w:val="22"/>
          <w:szCs w:val="22"/>
        </w:rPr>
        <w:t xml:space="preserve">In order to prolong RACH periodicity without modification on PRACH configuration tables i.e., Table 6.3.3.2-2/3/4 in TS38.211, </w:t>
      </w:r>
      <w:r w:rsidR="002B701D">
        <w:rPr>
          <w:sz w:val="22"/>
          <w:szCs w:val="22"/>
        </w:rPr>
        <w:t xml:space="preserve">applying scaling factor to x in PRACH configuration table can be considered. For example, if scaling factor 2 or 4 is applied to </w:t>
      </w:r>
      <w:r w:rsidR="008C67E4">
        <w:rPr>
          <w:sz w:val="22"/>
          <w:szCs w:val="22"/>
        </w:rPr>
        <w:t>“</w:t>
      </w:r>
      <w:r w:rsidR="002B701D" w:rsidRPr="008C67E4">
        <w:rPr>
          <w:i/>
          <w:sz w:val="22"/>
          <w:szCs w:val="22"/>
        </w:rPr>
        <w:t>x</w:t>
      </w:r>
      <w:r w:rsidR="008C67E4">
        <w:rPr>
          <w:i/>
          <w:sz w:val="22"/>
          <w:szCs w:val="22"/>
        </w:rPr>
        <w:t>”</w:t>
      </w:r>
      <w:r w:rsidR="002B701D">
        <w:rPr>
          <w:sz w:val="22"/>
          <w:szCs w:val="22"/>
        </w:rPr>
        <w:t xml:space="preserve"> so that </w:t>
      </w:r>
      <w:r w:rsidR="002B701D" w:rsidRPr="008C67E4">
        <w:rPr>
          <w:i/>
          <w:sz w:val="22"/>
          <w:szCs w:val="22"/>
        </w:rPr>
        <w:t>x</w:t>
      </w:r>
      <w:r w:rsidR="002B701D">
        <w:rPr>
          <w:sz w:val="22"/>
          <w:szCs w:val="22"/>
        </w:rPr>
        <w:t>’ = 2</w:t>
      </w:r>
      <w:r w:rsidR="002B701D" w:rsidRPr="008C67E4">
        <w:rPr>
          <w:i/>
          <w:sz w:val="22"/>
          <w:szCs w:val="22"/>
        </w:rPr>
        <w:t>x</w:t>
      </w:r>
      <w:r w:rsidR="002B701D">
        <w:rPr>
          <w:sz w:val="22"/>
          <w:szCs w:val="22"/>
        </w:rPr>
        <w:t xml:space="preserve"> or 4</w:t>
      </w:r>
      <w:r w:rsidR="002B701D" w:rsidRPr="008C67E4">
        <w:rPr>
          <w:i/>
          <w:sz w:val="22"/>
          <w:szCs w:val="22"/>
        </w:rPr>
        <w:t>x</w:t>
      </w:r>
      <w:r w:rsidR="002B701D">
        <w:rPr>
          <w:sz w:val="22"/>
          <w:szCs w:val="22"/>
        </w:rPr>
        <w:t>, PRACH resource periodicity becomes 2 or 4 times longer</w:t>
      </w:r>
      <w:r w:rsidR="008B3722">
        <w:rPr>
          <w:sz w:val="22"/>
          <w:szCs w:val="22"/>
        </w:rPr>
        <w:t>. Candidate values for the scaling factor should be decided in the WI.</w:t>
      </w:r>
    </w:p>
    <w:p w14:paraId="5BB9C6F1" w14:textId="69810116" w:rsidR="008B3722" w:rsidRDefault="008B3722" w:rsidP="008B3722">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 xml:space="preserve">RACH configuration for child IAB-node MT includes scaling factor to </w:t>
      </w:r>
      <w:r w:rsidR="008C67E4">
        <w:rPr>
          <w:rFonts w:eastAsia="游明朝"/>
          <w:b/>
          <w:sz w:val="22"/>
          <w:szCs w:val="22"/>
        </w:rPr>
        <w:t>“</w:t>
      </w:r>
      <w:r w:rsidRPr="008C67E4">
        <w:rPr>
          <w:rFonts w:eastAsia="游明朝"/>
          <w:b/>
          <w:i/>
          <w:sz w:val="22"/>
          <w:szCs w:val="22"/>
        </w:rPr>
        <w:t>x</w:t>
      </w:r>
      <w:r w:rsidR="008C67E4">
        <w:rPr>
          <w:rFonts w:eastAsia="游明朝"/>
          <w:b/>
          <w:i/>
          <w:sz w:val="22"/>
          <w:szCs w:val="22"/>
        </w:rPr>
        <w:t>”</w:t>
      </w:r>
      <w:r>
        <w:rPr>
          <w:rFonts w:eastAsia="游明朝"/>
          <w:b/>
          <w:sz w:val="22"/>
          <w:szCs w:val="22"/>
        </w:rPr>
        <w:t xml:space="preserve"> in PRACH configuration table to prolong RACH periodicity</w:t>
      </w:r>
      <w:r>
        <w:rPr>
          <w:rFonts w:eastAsia="游明朝" w:hint="eastAsia"/>
          <w:b/>
          <w:sz w:val="22"/>
          <w:szCs w:val="22"/>
        </w:rPr>
        <w:t>.</w:t>
      </w:r>
    </w:p>
    <w:p w14:paraId="1E912E99" w14:textId="370D7B1D" w:rsidR="008B3722" w:rsidRDefault="008B3722" w:rsidP="00965220">
      <w:pPr>
        <w:spacing w:afterLines="50" w:after="120"/>
        <w:rPr>
          <w:sz w:val="22"/>
          <w:szCs w:val="22"/>
        </w:rPr>
      </w:pPr>
    </w:p>
    <w:p w14:paraId="1B38E007" w14:textId="3A447F72" w:rsidR="008B3722" w:rsidRPr="008B3722" w:rsidRDefault="008B3722" w:rsidP="00965220">
      <w:pPr>
        <w:spacing w:afterLines="50" w:after="120"/>
        <w:rPr>
          <w:sz w:val="22"/>
          <w:szCs w:val="22"/>
        </w:rPr>
      </w:pPr>
      <w:r>
        <w:rPr>
          <w:rFonts w:hint="eastAsia"/>
          <w:sz w:val="22"/>
          <w:szCs w:val="22"/>
        </w:rPr>
        <w:t xml:space="preserve">Even if RACH configuration for child IAB-node MT applies longer periodicity </w:t>
      </w:r>
      <w:r>
        <w:rPr>
          <w:sz w:val="22"/>
          <w:szCs w:val="22"/>
        </w:rPr>
        <w:t>by using scaling factor compared with</w:t>
      </w:r>
      <w:r>
        <w:rPr>
          <w:rFonts w:hint="eastAsia"/>
          <w:sz w:val="22"/>
          <w:szCs w:val="22"/>
        </w:rPr>
        <w:t xml:space="preserve"> that for access UE</w:t>
      </w:r>
      <w:r>
        <w:rPr>
          <w:sz w:val="22"/>
          <w:szCs w:val="22"/>
        </w:rPr>
        <w:t>, some of RACH occasions may collide between those for IAB-node MT and those for access UE</w:t>
      </w:r>
      <w:r w:rsidR="007D139A">
        <w:rPr>
          <w:sz w:val="22"/>
          <w:szCs w:val="22"/>
        </w:rPr>
        <w:t xml:space="preserve"> as well as between IAB-node MTs with different hop orders</w:t>
      </w:r>
      <w:r>
        <w:rPr>
          <w:sz w:val="22"/>
          <w:szCs w:val="22"/>
        </w:rPr>
        <w:t xml:space="preserve">. Hence, offset(s) for PRACH occasions for IAB-node MT should also be included in RACH configuration for IAB-node MT. For the offset granularity, </w:t>
      </w:r>
      <w:r w:rsidR="008C67E4">
        <w:rPr>
          <w:sz w:val="22"/>
          <w:szCs w:val="22"/>
        </w:rPr>
        <w:t xml:space="preserve">slot or </w:t>
      </w:r>
      <w:proofErr w:type="spellStart"/>
      <w:r w:rsidR="008C67E4">
        <w:rPr>
          <w:sz w:val="22"/>
          <w:szCs w:val="22"/>
        </w:rPr>
        <w:t>subframe</w:t>
      </w:r>
      <w:proofErr w:type="spellEnd"/>
      <w:r w:rsidR="008C67E4">
        <w:rPr>
          <w:sz w:val="22"/>
          <w:szCs w:val="22"/>
        </w:rPr>
        <w:t xml:space="preserve"> level offset can be achieved by using different </w:t>
      </w:r>
      <w:proofErr w:type="spellStart"/>
      <w:r w:rsidR="008C67E4" w:rsidRPr="00965220">
        <w:rPr>
          <w:sz w:val="22"/>
          <w:szCs w:val="22"/>
        </w:rPr>
        <w:t>prach-ConfigurationIndex</w:t>
      </w:r>
      <w:proofErr w:type="spellEnd"/>
      <w:r w:rsidR="008C67E4">
        <w:rPr>
          <w:sz w:val="22"/>
          <w:szCs w:val="22"/>
        </w:rPr>
        <w:t xml:space="preserve"> between RACH </w:t>
      </w:r>
      <w:r w:rsidR="007D139A">
        <w:rPr>
          <w:sz w:val="22"/>
          <w:szCs w:val="22"/>
        </w:rPr>
        <w:lastRenderedPageBreak/>
        <w:t>configurations</w:t>
      </w:r>
      <w:r w:rsidR="008C67E4">
        <w:rPr>
          <w:sz w:val="22"/>
          <w:szCs w:val="22"/>
        </w:rPr>
        <w:t xml:space="preserve">. Therefore, we propose to apply SFN </w:t>
      </w:r>
      <w:r w:rsidR="007D139A">
        <w:rPr>
          <w:sz w:val="22"/>
          <w:szCs w:val="22"/>
        </w:rPr>
        <w:t xml:space="preserve">level </w:t>
      </w:r>
      <w:r w:rsidR="008C67E4">
        <w:rPr>
          <w:sz w:val="22"/>
          <w:szCs w:val="22"/>
        </w:rPr>
        <w:t>offset i.e., offset to “</w:t>
      </w:r>
      <w:r w:rsidR="008C67E4" w:rsidRPr="008C67E4">
        <w:rPr>
          <w:i/>
          <w:sz w:val="22"/>
          <w:szCs w:val="22"/>
        </w:rPr>
        <w:t>y</w:t>
      </w:r>
      <w:r w:rsidR="008C67E4">
        <w:rPr>
          <w:i/>
          <w:sz w:val="22"/>
          <w:szCs w:val="22"/>
        </w:rPr>
        <w:t>”</w:t>
      </w:r>
      <w:r w:rsidR="008C67E4">
        <w:rPr>
          <w:sz w:val="22"/>
          <w:szCs w:val="22"/>
        </w:rPr>
        <w:t xml:space="preserve"> in RACH configuration table for IAB-node MT. </w:t>
      </w:r>
    </w:p>
    <w:p w14:paraId="5AB8B687" w14:textId="310551F3" w:rsidR="008C67E4" w:rsidRDefault="008C67E4" w:rsidP="008C67E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RACH configuration for child IAB-node MT includes offset to “</w:t>
      </w:r>
      <w:r w:rsidRPr="008C67E4">
        <w:rPr>
          <w:rFonts w:eastAsia="游明朝"/>
          <w:b/>
          <w:i/>
          <w:sz w:val="22"/>
          <w:szCs w:val="22"/>
        </w:rPr>
        <w:t>y</w:t>
      </w:r>
      <w:r>
        <w:rPr>
          <w:rFonts w:eastAsia="游明朝"/>
          <w:b/>
          <w:i/>
          <w:sz w:val="22"/>
          <w:szCs w:val="22"/>
        </w:rPr>
        <w:t>”</w:t>
      </w:r>
      <w:r>
        <w:rPr>
          <w:rFonts w:eastAsia="游明朝"/>
          <w:b/>
          <w:sz w:val="22"/>
          <w:szCs w:val="22"/>
        </w:rPr>
        <w:t xml:space="preserve"> in PRACH configuration table to facilitate </w:t>
      </w:r>
      <w:proofErr w:type="spellStart"/>
      <w:r>
        <w:rPr>
          <w:rFonts w:eastAsia="游明朝"/>
          <w:b/>
          <w:sz w:val="22"/>
          <w:szCs w:val="22"/>
        </w:rPr>
        <w:t>TDMed</w:t>
      </w:r>
      <w:proofErr w:type="spellEnd"/>
      <w:r>
        <w:rPr>
          <w:rFonts w:eastAsia="游明朝"/>
          <w:b/>
          <w:sz w:val="22"/>
          <w:szCs w:val="22"/>
        </w:rPr>
        <w:t xml:space="preserve"> RACH occasions</w:t>
      </w:r>
      <w:r>
        <w:rPr>
          <w:rFonts w:eastAsia="游明朝" w:hint="eastAsia"/>
          <w:b/>
          <w:sz w:val="22"/>
          <w:szCs w:val="22"/>
        </w:rPr>
        <w:t>.</w:t>
      </w:r>
    </w:p>
    <w:p w14:paraId="502CF364" w14:textId="79228F46" w:rsidR="00730B84" w:rsidRDefault="00730B84" w:rsidP="00C517C8">
      <w:pPr>
        <w:spacing w:afterLines="50" w:after="120"/>
        <w:rPr>
          <w:sz w:val="22"/>
          <w:szCs w:val="22"/>
        </w:rPr>
      </w:pPr>
    </w:p>
    <w:p w14:paraId="3DDF74E7" w14:textId="540516F5" w:rsidR="007D139A" w:rsidRDefault="007D139A" w:rsidP="00C517C8">
      <w:pPr>
        <w:spacing w:afterLines="50" w:after="120"/>
        <w:rPr>
          <w:sz w:val="22"/>
          <w:szCs w:val="22"/>
        </w:rPr>
      </w:pPr>
      <w:r>
        <w:rPr>
          <w:rFonts w:hint="eastAsia"/>
          <w:sz w:val="22"/>
          <w:szCs w:val="22"/>
        </w:rPr>
        <w:t>Figure 1 shows an example of scaling factor and offset applied to PRACH configuration.</w:t>
      </w:r>
    </w:p>
    <w:p w14:paraId="1D850476" w14:textId="0A7874A6" w:rsidR="007D139A" w:rsidRPr="007D139A" w:rsidRDefault="007D139A" w:rsidP="00C517C8">
      <w:pPr>
        <w:spacing w:afterLines="50" w:after="120"/>
        <w:rPr>
          <w:sz w:val="22"/>
          <w:szCs w:val="22"/>
        </w:rPr>
      </w:pPr>
      <w:r>
        <w:rPr>
          <w:rFonts w:hint="eastAsia"/>
          <w:noProof/>
          <w:sz w:val="22"/>
          <w:szCs w:val="22"/>
          <w:lang w:val="en-US"/>
        </w:rPr>
        <w:drawing>
          <wp:inline distT="0" distB="0" distL="0" distR="0" wp14:anchorId="4A1FC2F2" wp14:editId="1A20E123">
            <wp:extent cx="6332220" cy="874395"/>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874395"/>
                    </a:xfrm>
                    <a:prstGeom prst="rect">
                      <a:avLst/>
                    </a:prstGeom>
                  </pic:spPr>
                </pic:pic>
              </a:graphicData>
            </a:graphic>
          </wp:inline>
        </w:drawing>
      </w:r>
    </w:p>
    <w:p w14:paraId="2B131690" w14:textId="34B9014B" w:rsidR="00730B84" w:rsidRDefault="007D139A" w:rsidP="007D139A">
      <w:pPr>
        <w:spacing w:afterLines="50" w:after="120"/>
        <w:jc w:val="center"/>
        <w:rPr>
          <w:sz w:val="22"/>
          <w:szCs w:val="22"/>
        </w:rPr>
      </w:pPr>
      <w:r>
        <w:rPr>
          <w:rFonts w:hint="eastAsia"/>
          <w:sz w:val="22"/>
          <w:szCs w:val="22"/>
        </w:rPr>
        <w:t>Figure 1: Example of scaling factor and offset</w:t>
      </w:r>
    </w:p>
    <w:p w14:paraId="46466383" w14:textId="77777777" w:rsidR="007D139A" w:rsidRDefault="007D139A" w:rsidP="00C517C8">
      <w:pPr>
        <w:spacing w:afterLines="50" w:after="120"/>
        <w:rPr>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5418D056"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C67E4">
        <w:rPr>
          <w:rFonts w:eastAsia="ＭＳ 明朝"/>
          <w:sz w:val="22"/>
          <w:szCs w:val="22"/>
          <w:lang w:val="en-US"/>
        </w:rPr>
        <w:t>the e</w:t>
      </w:r>
      <w:r w:rsidR="008C67E4" w:rsidRPr="00B6372C">
        <w:rPr>
          <w:rFonts w:eastAsia="ＭＳ 明朝"/>
          <w:sz w:val="22"/>
          <w:szCs w:val="22"/>
          <w:lang w:val="en-US"/>
        </w:rPr>
        <w:t>xtension of RACH occasions and periodicities for backhaul RACH resources</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C67E4">
        <w:rPr>
          <w:rFonts w:eastAsia="ＭＳ 明朝"/>
          <w:sz w:val="22"/>
          <w:szCs w:val="22"/>
          <w:lang w:val="en-US"/>
        </w:rPr>
        <w:t>s</w:t>
      </w:r>
      <w:r w:rsidR="00E15F38">
        <w:rPr>
          <w:rFonts w:eastAsia="ＭＳ 明朝" w:hint="eastAsia"/>
          <w:sz w:val="22"/>
          <w:szCs w:val="22"/>
          <w:lang w:val="en-US"/>
        </w:rPr>
        <w:t>.</w:t>
      </w:r>
    </w:p>
    <w:p w14:paraId="325C1D8F" w14:textId="77777777" w:rsidR="008C67E4" w:rsidRDefault="008C67E4" w:rsidP="008C67E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 xml:space="preserve">The IAB-node/donor is able to provide RACH configuration including </w:t>
      </w:r>
      <w:proofErr w:type="spellStart"/>
      <w:r w:rsidRPr="00965220">
        <w:rPr>
          <w:rFonts w:eastAsia="游明朝"/>
          <w:b/>
          <w:sz w:val="22"/>
          <w:szCs w:val="22"/>
        </w:rPr>
        <w:t>prach-ConfigurationIndex</w:t>
      </w:r>
      <w:proofErr w:type="spellEnd"/>
      <w:r>
        <w:rPr>
          <w:rFonts w:eastAsia="游明朝"/>
          <w:b/>
          <w:sz w:val="22"/>
          <w:szCs w:val="22"/>
        </w:rPr>
        <w:t xml:space="preserve"> for child IAB-node MT separately from that for access UE</w:t>
      </w:r>
      <w:r>
        <w:rPr>
          <w:rFonts w:eastAsia="游明朝" w:hint="eastAsia"/>
          <w:b/>
          <w:sz w:val="22"/>
          <w:szCs w:val="22"/>
        </w:rPr>
        <w:t>.</w:t>
      </w:r>
    </w:p>
    <w:p w14:paraId="3197BAD0" w14:textId="7308638A" w:rsidR="008C67E4" w:rsidRDefault="008C67E4" w:rsidP="008C67E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RACH configuration for child IAB-node MT includes scaling factor to “</w:t>
      </w:r>
      <w:r w:rsidRPr="008C67E4">
        <w:rPr>
          <w:rFonts w:eastAsia="游明朝"/>
          <w:b/>
          <w:i/>
          <w:sz w:val="22"/>
          <w:szCs w:val="22"/>
        </w:rPr>
        <w:t>x</w:t>
      </w:r>
      <w:r>
        <w:rPr>
          <w:rFonts w:eastAsia="游明朝"/>
          <w:b/>
          <w:i/>
          <w:sz w:val="22"/>
          <w:szCs w:val="22"/>
        </w:rPr>
        <w:t>”</w:t>
      </w:r>
      <w:r>
        <w:rPr>
          <w:rFonts w:eastAsia="游明朝"/>
          <w:b/>
          <w:sz w:val="22"/>
          <w:szCs w:val="22"/>
        </w:rPr>
        <w:t xml:space="preserve"> in PRACH configuration table to prolong RACH periodicity</w:t>
      </w:r>
      <w:r>
        <w:rPr>
          <w:rFonts w:eastAsia="游明朝" w:hint="eastAsia"/>
          <w:b/>
          <w:sz w:val="22"/>
          <w:szCs w:val="22"/>
        </w:rPr>
        <w:t>.</w:t>
      </w:r>
    </w:p>
    <w:p w14:paraId="0CC93C43" w14:textId="5180DBA2" w:rsidR="008C67E4" w:rsidRDefault="008C67E4" w:rsidP="008C67E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RACH configuration for child IAB-node MT includes offset to “</w:t>
      </w:r>
      <w:r w:rsidRPr="008C67E4">
        <w:rPr>
          <w:rFonts w:eastAsia="游明朝"/>
          <w:b/>
          <w:i/>
          <w:sz w:val="22"/>
          <w:szCs w:val="22"/>
        </w:rPr>
        <w:t>y</w:t>
      </w:r>
      <w:r>
        <w:rPr>
          <w:rFonts w:eastAsia="游明朝"/>
          <w:b/>
          <w:i/>
          <w:sz w:val="22"/>
          <w:szCs w:val="22"/>
        </w:rPr>
        <w:t>”</w:t>
      </w:r>
      <w:r>
        <w:rPr>
          <w:rFonts w:eastAsia="游明朝"/>
          <w:b/>
          <w:sz w:val="22"/>
          <w:szCs w:val="22"/>
        </w:rPr>
        <w:t xml:space="preserve"> in PRACH configuration table to f</w:t>
      </w:r>
      <w:r w:rsidR="007D139A">
        <w:rPr>
          <w:rFonts w:eastAsia="游明朝"/>
          <w:b/>
          <w:sz w:val="22"/>
          <w:szCs w:val="22"/>
        </w:rPr>
        <w:t xml:space="preserve">acilitate </w:t>
      </w:r>
      <w:proofErr w:type="spellStart"/>
      <w:r w:rsidR="007D139A">
        <w:rPr>
          <w:rFonts w:eastAsia="游明朝"/>
          <w:b/>
          <w:sz w:val="22"/>
          <w:szCs w:val="22"/>
        </w:rPr>
        <w:t>TDMed</w:t>
      </w:r>
      <w:proofErr w:type="spellEnd"/>
      <w:r w:rsidR="007D139A">
        <w:rPr>
          <w:rFonts w:eastAsia="游明朝"/>
          <w:b/>
          <w:sz w:val="22"/>
          <w:szCs w:val="22"/>
        </w:rPr>
        <w:t xml:space="preserve"> RACH occasions</w:t>
      </w:r>
      <w:r>
        <w:rPr>
          <w:rFonts w:eastAsia="游明朝" w:hint="eastAsia"/>
          <w:b/>
          <w:sz w:val="22"/>
          <w:szCs w:val="22"/>
        </w:rPr>
        <w:t>.</w:t>
      </w:r>
    </w:p>
    <w:p w14:paraId="78761C00" w14:textId="77777777" w:rsidR="00F624AE" w:rsidRPr="008C67E4" w:rsidRDefault="00F624AE"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638CF9B" w14:textId="4A8164EA" w:rsidR="009D6CB0" w:rsidRDefault="00571AD2" w:rsidP="00764120">
      <w:pPr>
        <w:pStyle w:val="afc"/>
        <w:numPr>
          <w:ilvl w:val="0"/>
          <w:numId w:val="4"/>
        </w:numPr>
        <w:spacing w:afterLines="50" w:after="120"/>
        <w:ind w:leftChars="0"/>
        <w:jc w:val="both"/>
        <w:rPr>
          <w:rFonts w:eastAsia="ＭＳ 明朝"/>
          <w:sz w:val="22"/>
        </w:rPr>
      </w:pPr>
      <w:r w:rsidRPr="00571AD2">
        <w:rPr>
          <w:rFonts w:eastAsia="ＭＳ 明朝"/>
          <w:sz w:val="22"/>
        </w:rPr>
        <w:t>3GPP</w:t>
      </w:r>
      <w:r w:rsidR="00764120">
        <w:rPr>
          <w:rFonts w:eastAsia="ＭＳ 明朝"/>
          <w:sz w:val="22"/>
        </w:rPr>
        <w:t>, RP-182882, Qualcomm, “</w:t>
      </w:r>
      <w:r w:rsidR="00764120" w:rsidRPr="00764120">
        <w:rPr>
          <w:rFonts w:eastAsia="ＭＳ 明朝"/>
          <w:sz w:val="22"/>
        </w:rPr>
        <w:t>New WID: Integrated Access and Backhaul for NR</w:t>
      </w:r>
      <w:r w:rsidR="00764120">
        <w:rPr>
          <w:rFonts w:eastAsia="ＭＳ 明朝"/>
          <w:sz w:val="22"/>
        </w:rPr>
        <w:t>,” Dec. 2018.</w:t>
      </w:r>
    </w:p>
    <w:p w14:paraId="7822518B" w14:textId="4F885C52" w:rsidR="009517C5" w:rsidRDefault="00E949B3" w:rsidP="009517C5">
      <w:pPr>
        <w:pStyle w:val="afc"/>
        <w:numPr>
          <w:ilvl w:val="0"/>
          <w:numId w:val="4"/>
        </w:numPr>
        <w:spacing w:afterLines="50" w:after="120"/>
        <w:ind w:leftChars="0"/>
        <w:jc w:val="both"/>
        <w:rPr>
          <w:rFonts w:eastAsia="ＭＳ 明朝"/>
          <w:sz w:val="22"/>
        </w:rPr>
      </w:pPr>
      <w:r>
        <w:rPr>
          <w:rFonts w:eastAsia="ＭＳ 明朝" w:hint="eastAsia"/>
          <w:sz w:val="22"/>
        </w:rPr>
        <w:t>3GPP, TR38.874 v1.0.0, Dec</w:t>
      </w:r>
      <w:r w:rsidR="009517C5">
        <w:rPr>
          <w:rFonts w:eastAsia="ＭＳ 明朝" w:hint="eastAsia"/>
          <w:sz w:val="22"/>
        </w:rPr>
        <w:t>. 2018.</w:t>
      </w:r>
    </w:p>
    <w:p w14:paraId="3D4A94A6" w14:textId="6B576560" w:rsidR="008C67E4" w:rsidRPr="008C67E4" w:rsidRDefault="008C67E4" w:rsidP="008C67E4">
      <w:pPr>
        <w:pStyle w:val="afc"/>
        <w:numPr>
          <w:ilvl w:val="0"/>
          <w:numId w:val="4"/>
        </w:numPr>
        <w:spacing w:afterLines="50" w:after="120"/>
        <w:ind w:leftChars="0"/>
        <w:jc w:val="both"/>
        <w:rPr>
          <w:rFonts w:eastAsia="ＭＳ 明朝"/>
          <w:sz w:val="22"/>
        </w:rPr>
      </w:pPr>
      <w:r w:rsidRPr="00571AD2">
        <w:rPr>
          <w:rFonts w:eastAsia="ＭＳ 明朝"/>
          <w:sz w:val="22"/>
        </w:rPr>
        <w:t>3GPP RAN1</w:t>
      </w:r>
      <w:r>
        <w:rPr>
          <w:rFonts w:eastAsia="ＭＳ 明朝" w:hint="eastAsia"/>
          <w:sz w:val="22"/>
        </w:rPr>
        <w:t>#94</w:t>
      </w:r>
      <w:r>
        <w:rPr>
          <w:rFonts w:eastAsia="ＭＳ 明朝"/>
          <w:sz w:val="22"/>
        </w:rPr>
        <w:t>bis</w:t>
      </w:r>
      <w:r w:rsidRPr="00571AD2">
        <w:rPr>
          <w:rFonts w:eastAsia="ＭＳ 明朝"/>
          <w:sz w:val="22"/>
        </w:rPr>
        <w:t xml:space="preserve">, Chairman’s note, </w:t>
      </w:r>
      <w:r>
        <w:rPr>
          <w:rFonts w:eastAsia="ＭＳ 明朝"/>
          <w:sz w:val="22"/>
        </w:rPr>
        <w:t>Oct.</w:t>
      </w:r>
      <w:r w:rsidRPr="00571AD2">
        <w:rPr>
          <w:rFonts w:eastAsia="ＭＳ 明朝"/>
          <w:sz w:val="22"/>
        </w:rPr>
        <w:t xml:space="preserve"> 201</w:t>
      </w:r>
      <w:r>
        <w:rPr>
          <w:rFonts w:eastAsia="ＭＳ 明朝" w:hint="eastAsia"/>
          <w:sz w:val="22"/>
        </w:rPr>
        <w:t>8</w:t>
      </w:r>
      <w:r w:rsidRPr="00571AD2">
        <w:rPr>
          <w:rFonts w:eastAsia="ＭＳ 明朝" w:hint="eastAsia"/>
          <w:sz w:val="22"/>
        </w:rPr>
        <w:t>.</w:t>
      </w:r>
    </w:p>
    <w:sectPr w:rsidR="008C67E4" w:rsidRPr="008C67E4">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39850" w14:textId="77777777" w:rsidR="0048586A" w:rsidRDefault="0048586A">
      <w:r>
        <w:separator/>
      </w:r>
    </w:p>
  </w:endnote>
  <w:endnote w:type="continuationSeparator" w:id="0">
    <w:p w14:paraId="70B5DEAD" w14:textId="77777777" w:rsidR="0048586A" w:rsidRDefault="0048586A">
      <w:r>
        <w:continuationSeparator/>
      </w:r>
    </w:p>
  </w:endnote>
  <w:endnote w:type="continuationNotice" w:id="1">
    <w:p w14:paraId="241536DA" w14:textId="77777777" w:rsidR="0048586A" w:rsidRDefault="00485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6DCA1C4"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1432E">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1432E">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9B70E" w14:textId="77777777" w:rsidR="0048586A" w:rsidRDefault="0048586A">
      <w:r>
        <w:separator/>
      </w:r>
    </w:p>
  </w:footnote>
  <w:footnote w:type="continuationSeparator" w:id="0">
    <w:p w14:paraId="590A351F" w14:textId="77777777" w:rsidR="0048586A" w:rsidRDefault="0048586A">
      <w:r>
        <w:continuationSeparator/>
      </w:r>
    </w:p>
  </w:footnote>
  <w:footnote w:type="continuationNotice" w:id="1">
    <w:p w14:paraId="08DD1AEE" w14:textId="77777777" w:rsidR="0048586A" w:rsidRDefault="0048586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B468FB"/>
    <w:multiLevelType w:val="hybridMultilevel"/>
    <w:tmpl w:val="DFE4D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6A4E0F75"/>
    <w:multiLevelType w:val="hybridMultilevel"/>
    <w:tmpl w:val="5D7CD0B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78260F2B"/>
    <w:multiLevelType w:val="hybridMultilevel"/>
    <w:tmpl w:val="A182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8"/>
  </w:num>
  <w:num w:numId="6">
    <w:abstractNumId w:val="4"/>
  </w:num>
  <w:num w:numId="7">
    <w:abstractNumId w:val="7"/>
  </w:num>
  <w:num w:numId="8">
    <w:abstractNumId w:val="1"/>
  </w:num>
  <w:num w:numId="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697C"/>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932"/>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0C5"/>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1D"/>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86A"/>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E8"/>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A28"/>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27F"/>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347"/>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0B84"/>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39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22"/>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7E4"/>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220"/>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2E"/>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72C"/>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59"/>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01D"/>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F0"/>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DCB"/>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02A75-B73A-4148-8328-11532D2D2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988</Words>
  <Characters>5635</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2017-08-09T04:40:00Z</cp:lastPrinted>
  <dcterms:created xsi:type="dcterms:W3CDTF">2019-01-11T05:59:00Z</dcterms:created>
  <dcterms:modified xsi:type="dcterms:W3CDTF">2019-01-11T05:59:00Z</dcterms:modified>
</cp:coreProperties>
</file>